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EC" w:rsidRDefault="000141D8" w:rsidP="000141D8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УТВЕРЖДЕН</w:t>
      </w:r>
    </w:p>
    <w:p w:rsidR="000141D8" w:rsidRDefault="000141D8" w:rsidP="000141D8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Счетной палаты городского</w:t>
      </w:r>
    </w:p>
    <w:p w:rsidR="000141D8" w:rsidRDefault="000141D8" w:rsidP="000141D8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круга Домодедово Московской области</w:t>
      </w:r>
    </w:p>
    <w:p w:rsidR="000141D8" w:rsidRPr="001A1C20" w:rsidRDefault="000141D8" w:rsidP="000141D8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1A1C20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901FF">
        <w:rPr>
          <w:rFonts w:ascii="Times New Roman" w:hAnsi="Times New Roman"/>
          <w:sz w:val="28"/>
          <w:szCs w:val="28"/>
          <w:u w:val="single"/>
          <w:lang w:val="en-US"/>
        </w:rPr>
        <w:t>22</w:t>
      </w:r>
      <w:r w:rsidR="001A1C20" w:rsidRPr="001A1C20">
        <w:rPr>
          <w:rFonts w:ascii="Times New Roman" w:hAnsi="Times New Roman"/>
          <w:sz w:val="28"/>
          <w:szCs w:val="28"/>
          <w:u w:val="single"/>
        </w:rPr>
        <w:t>.0</w:t>
      </w:r>
      <w:r w:rsidR="006901FF">
        <w:rPr>
          <w:rFonts w:ascii="Times New Roman" w:hAnsi="Times New Roman"/>
          <w:sz w:val="28"/>
          <w:szCs w:val="28"/>
          <w:u w:val="single"/>
          <w:lang w:val="en-US"/>
        </w:rPr>
        <w:t>2</w:t>
      </w:r>
      <w:r w:rsidR="001A1C20" w:rsidRPr="001A1C20">
        <w:rPr>
          <w:rFonts w:ascii="Times New Roman" w:hAnsi="Times New Roman"/>
          <w:sz w:val="28"/>
          <w:szCs w:val="28"/>
          <w:u w:val="single"/>
        </w:rPr>
        <w:t>.2019г. № 46-3/21</w:t>
      </w:r>
    </w:p>
    <w:p w:rsidR="000141D8" w:rsidRPr="000141D8" w:rsidRDefault="000141D8" w:rsidP="000141D8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</w:p>
    <w:p w:rsidR="00D90FEC" w:rsidRPr="000141D8" w:rsidRDefault="00D90FEC" w:rsidP="00D90FEC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D90FEC" w:rsidRPr="000141D8" w:rsidRDefault="00D90FEC" w:rsidP="00D90FEC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D90FEC" w:rsidRPr="000141D8" w:rsidRDefault="00D90FEC" w:rsidP="00D90FEC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D90FEC" w:rsidRPr="000141D8" w:rsidRDefault="00D90FEC" w:rsidP="00D90FEC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D90FEC" w:rsidRPr="000141D8" w:rsidRDefault="00D90FEC" w:rsidP="00D90FEC">
      <w:pPr>
        <w:spacing w:after="0" w:line="288" w:lineRule="auto"/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Стандарт внешнего муниципального финансового контроля</w:t>
      </w:r>
    </w:p>
    <w:p w:rsidR="00D90FEC" w:rsidRPr="000141D8" w:rsidRDefault="00D90FEC" w:rsidP="00D90FEC">
      <w:pPr>
        <w:tabs>
          <w:tab w:val="left" w:pos="1134"/>
        </w:tabs>
        <w:spacing w:after="0" w:line="288" w:lineRule="auto"/>
        <w:ind w:firstLine="567"/>
        <w:jc w:val="center"/>
        <w:rPr>
          <w:rFonts w:ascii="Times New Roman" w:hAnsi="Times New Roman"/>
          <w:sz w:val="40"/>
          <w:szCs w:val="28"/>
        </w:rPr>
      </w:pPr>
    </w:p>
    <w:p w:rsidR="00D90FEC" w:rsidRDefault="00D90FEC" w:rsidP="001A1C20">
      <w:pPr>
        <w:tabs>
          <w:tab w:val="left" w:pos="1134"/>
        </w:tabs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«Проведение экспертизы проекта о внесении изменений в бюджет городского округа </w:t>
      </w:r>
      <w:r w:rsidR="00627989">
        <w:rPr>
          <w:rFonts w:ascii="Times New Roman" w:hAnsi="Times New Roman"/>
          <w:b/>
          <w:sz w:val="40"/>
          <w:szCs w:val="28"/>
        </w:rPr>
        <w:t>Домодедово</w:t>
      </w:r>
      <w:r>
        <w:rPr>
          <w:rFonts w:ascii="Times New Roman" w:hAnsi="Times New Roman"/>
          <w:b/>
          <w:sz w:val="40"/>
          <w:szCs w:val="28"/>
        </w:rPr>
        <w:t xml:space="preserve"> Московской области  на текущий финансовый год и плановый период» </w:t>
      </w: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tabs>
          <w:tab w:val="left" w:pos="5387"/>
          <w:tab w:val="left" w:pos="5529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27"/>
          <w:szCs w:val="27"/>
        </w:rPr>
      </w:pPr>
    </w:p>
    <w:p w:rsidR="00D90FEC" w:rsidRDefault="006640AE" w:rsidP="00D90FEC">
      <w:pPr>
        <w:spacing w:after="0" w:line="240" w:lineRule="auto"/>
        <w:ind w:firstLine="851"/>
        <w:jc w:val="center"/>
        <w:rPr>
          <w:rFonts w:ascii="Times New Roman" w:hAnsi="Times New Roman"/>
          <w:sz w:val="40"/>
          <w:szCs w:val="27"/>
          <w:lang w:val="en-US"/>
        </w:rPr>
      </w:pPr>
      <w:r>
        <w:rPr>
          <w:rFonts w:ascii="Times New Roman" w:hAnsi="Times New Roman"/>
          <w:sz w:val="40"/>
          <w:szCs w:val="27"/>
        </w:rPr>
        <w:t>2019</w:t>
      </w: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40"/>
          <w:szCs w:val="27"/>
          <w:lang w:val="en-US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40"/>
          <w:szCs w:val="27"/>
          <w:lang w:val="en-US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40"/>
          <w:szCs w:val="27"/>
          <w:lang w:val="en-US"/>
        </w:rPr>
      </w:pPr>
    </w:p>
    <w:p w:rsidR="00D90FEC" w:rsidRDefault="00D90FEC" w:rsidP="00D90FEC">
      <w:pPr>
        <w:spacing w:after="0" w:line="240" w:lineRule="auto"/>
        <w:ind w:firstLine="851"/>
        <w:jc w:val="center"/>
        <w:rPr>
          <w:rFonts w:ascii="Times New Roman" w:hAnsi="Times New Roman"/>
          <w:sz w:val="40"/>
          <w:szCs w:val="27"/>
          <w:lang w:val="en-US"/>
        </w:rPr>
      </w:pPr>
    </w:p>
    <w:p w:rsidR="00D90FEC" w:rsidRPr="004D1B0D" w:rsidRDefault="00D90FEC" w:rsidP="00D90FEC">
      <w:pPr>
        <w:tabs>
          <w:tab w:val="left" w:pos="1134"/>
        </w:tabs>
        <w:spacing w:line="28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1B0D">
        <w:rPr>
          <w:rFonts w:ascii="Times New Roman" w:hAnsi="Times New Roman"/>
          <w:b/>
          <w:sz w:val="28"/>
          <w:szCs w:val="28"/>
        </w:rPr>
        <w:t>Содержание</w:t>
      </w:r>
    </w:p>
    <w:p w:rsidR="00D90FEC" w:rsidRPr="004D1B0D" w:rsidRDefault="00D90FEC" w:rsidP="00D90FE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"/>
        <w:gridCol w:w="7926"/>
        <w:gridCol w:w="771"/>
      </w:tblGrid>
      <w:tr w:rsidR="00D90FEC" w:rsidRPr="004D1B0D" w:rsidTr="00D90FEC">
        <w:tc>
          <w:tcPr>
            <w:tcW w:w="959" w:type="dxa"/>
            <w:vAlign w:val="center"/>
            <w:hideMark/>
          </w:tcPr>
          <w:p w:rsidR="00D90FEC" w:rsidRPr="004D1B0D" w:rsidRDefault="00D90FE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B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  <w:hideMark/>
          </w:tcPr>
          <w:p w:rsidR="00D90FEC" w:rsidRPr="004D1B0D" w:rsidRDefault="00D90FEC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D1B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Общие положения…………………………………………………..</w:t>
            </w:r>
          </w:p>
        </w:tc>
        <w:tc>
          <w:tcPr>
            <w:tcW w:w="816" w:type="dxa"/>
            <w:vAlign w:val="center"/>
            <w:hideMark/>
          </w:tcPr>
          <w:p w:rsidR="00D90FEC" w:rsidRPr="004D1B0D" w:rsidRDefault="00D90FE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B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FEC" w:rsidRPr="004D1B0D" w:rsidTr="00D90FEC">
        <w:tc>
          <w:tcPr>
            <w:tcW w:w="959" w:type="dxa"/>
            <w:vAlign w:val="center"/>
            <w:hideMark/>
          </w:tcPr>
          <w:p w:rsidR="00D90FEC" w:rsidRPr="004D1B0D" w:rsidRDefault="00D90FE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B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  <w:hideMark/>
          </w:tcPr>
          <w:p w:rsidR="00D90FEC" w:rsidRPr="004D1B0D" w:rsidRDefault="00D90FEC" w:rsidP="00627989">
            <w:pPr>
              <w:spacing w:before="60" w:after="0" w:line="312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Требования к проведению </w:t>
            </w:r>
            <w:r w:rsidRPr="004D1B0D">
              <w:rPr>
                <w:rFonts w:ascii="Times New Roman" w:hAnsi="Times New Roman"/>
                <w:sz w:val="28"/>
                <w:szCs w:val="28"/>
              </w:rPr>
              <w:t xml:space="preserve">экспертизы проекта о внесении изменений </w:t>
            </w:r>
            <w:r w:rsidRPr="004D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бюджет городского округа </w:t>
            </w:r>
            <w:r w:rsidR="006279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Домодедово</w:t>
            </w:r>
            <w:r w:rsidRPr="004D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текущий финансовый год и плановый </w:t>
            </w:r>
            <w:r w:rsidR="006279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период…………………..</w:t>
            </w:r>
          </w:p>
        </w:tc>
        <w:tc>
          <w:tcPr>
            <w:tcW w:w="816" w:type="dxa"/>
            <w:vAlign w:val="center"/>
          </w:tcPr>
          <w:p w:rsidR="00D90FEC" w:rsidRPr="004D1B0D" w:rsidRDefault="00D90FE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0FEC" w:rsidRPr="004D1B0D" w:rsidRDefault="00D90FE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B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FEC" w:rsidRPr="004D1B0D" w:rsidTr="00D90FEC">
        <w:tc>
          <w:tcPr>
            <w:tcW w:w="959" w:type="dxa"/>
            <w:vAlign w:val="center"/>
            <w:hideMark/>
          </w:tcPr>
          <w:p w:rsidR="00D90FEC" w:rsidRPr="004D1B0D" w:rsidRDefault="00D90FE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B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  <w:hideMark/>
          </w:tcPr>
          <w:p w:rsidR="00D90FEC" w:rsidRPr="004D1B0D" w:rsidRDefault="00D90FEC">
            <w:pPr>
              <w:spacing w:before="60" w:after="0" w:line="31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к оформлению результатов экспертизы…………….</w:t>
            </w:r>
          </w:p>
        </w:tc>
        <w:tc>
          <w:tcPr>
            <w:tcW w:w="816" w:type="dxa"/>
            <w:vAlign w:val="center"/>
            <w:hideMark/>
          </w:tcPr>
          <w:p w:rsidR="00D90FEC" w:rsidRPr="004D1B0D" w:rsidRDefault="0059665A" w:rsidP="0059665A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90FEC" w:rsidRPr="004D1B0D" w:rsidRDefault="00D90FEC" w:rsidP="00D90FEC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FEC" w:rsidRPr="00812CCE" w:rsidRDefault="00D90FEC" w:rsidP="00D90FEC">
      <w:pPr>
        <w:spacing w:before="60" w:after="0" w:line="31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713E">
        <w:rPr>
          <w:rFonts w:ascii="Times New Roman" w:hAnsi="Times New Roman"/>
          <w:sz w:val="24"/>
          <w:szCs w:val="24"/>
        </w:rPr>
        <w:br w:type="page"/>
      </w:r>
      <w:r w:rsidRPr="00812C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D90FEC" w:rsidRPr="00812CCE" w:rsidRDefault="00D90FEC" w:rsidP="00D90FEC">
      <w:pPr>
        <w:pStyle w:val="a5"/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FEC" w:rsidRPr="00812CCE" w:rsidRDefault="00D90FEC" w:rsidP="00D90FEC">
      <w:pPr>
        <w:tabs>
          <w:tab w:val="left" w:pos="709"/>
        </w:tabs>
        <w:spacing w:before="60" w:after="0" w:line="312" w:lineRule="auto"/>
        <w:jc w:val="both"/>
        <w:rPr>
          <w:rFonts w:ascii="Times New Roman" w:hAnsi="Times New Roman"/>
          <w:sz w:val="28"/>
          <w:szCs w:val="28"/>
        </w:rPr>
      </w:pPr>
      <w:bookmarkStart w:id="1" w:name="sub_111"/>
      <w:r w:rsidRPr="00812CCE">
        <w:rPr>
          <w:rFonts w:ascii="Times New Roman" w:hAnsi="Times New Roman"/>
          <w:sz w:val="28"/>
          <w:szCs w:val="28"/>
        </w:rPr>
        <w:tab/>
        <w:t xml:space="preserve">1.1. Стандарт внешнего муниципального финансового контроля «Проведение экспертизы проекта о внесении изменений в бюджет городского округа </w:t>
      </w:r>
      <w:r w:rsidR="00627989">
        <w:rPr>
          <w:rFonts w:ascii="Times New Roman" w:hAnsi="Times New Roman"/>
          <w:sz w:val="28"/>
          <w:szCs w:val="28"/>
        </w:rPr>
        <w:t>Домодедово</w:t>
      </w:r>
      <w:r w:rsidRPr="00812CCE">
        <w:rPr>
          <w:rFonts w:ascii="Times New Roman" w:hAnsi="Times New Roman"/>
          <w:sz w:val="28"/>
          <w:szCs w:val="28"/>
        </w:rPr>
        <w:t xml:space="preserve"> Московской области  на текущий финансовый год и плановый период»  (далее – Стандарт) разработан в соответствии с Федеральным законом от 07.02.2011  № 6-ФЗ «Об общих принципах организации и деятельности контрольно-счетных органов </w:t>
      </w:r>
      <w:r w:rsidRPr="00826EB8">
        <w:rPr>
          <w:rFonts w:ascii="Times New Roman" w:hAnsi="Times New Roman"/>
          <w:sz w:val="28"/>
          <w:szCs w:val="28"/>
        </w:rPr>
        <w:t>субъектов Российской Федерации и муниципальных образований», в соответствии с</w:t>
      </w:r>
      <w:r w:rsidR="00826EB8" w:rsidRPr="00826EB8">
        <w:rPr>
          <w:rFonts w:ascii="Times New Roman" w:hAnsi="Times New Roman"/>
          <w:sz w:val="28"/>
          <w:szCs w:val="28"/>
        </w:rPr>
        <w:t xml:space="preserve"> </w:t>
      </w:r>
      <w:r w:rsidRPr="00826EB8">
        <w:rPr>
          <w:rFonts w:ascii="Times New Roman" w:hAnsi="Times New Roman"/>
          <w:sz w:val="28"/>
          <w:szCs w:val="28"/>
        </w:rPr>
        <w:t xml:space="preserve"> Положени</w:t>
      </w:r>
      <w:r w:rsidR="00826EB8" w:rsidRPr="00826EB8">
        <w:rPr>
          <w:rFonts w:ascii="Times New Roman" w:hAnsi="Times New Roman"/>
          <w:sz w:val="28"/>
          <w:szCs w:val="28"/>
        </w:rPr>
        <w:t>ем</w:t>
      </w:r>
      <w:r w:rsidRPr="00826EB8">
        <w:rPr>
          <w:rFonts w:ascii="Times New Roman" w:hAnsi="Times New Roman"/>
          <w:sz w:val="28"/>
          <w:szCs w:val="28"/>
        </w:rPr>
        <w:t xml:space="preserve"> о </w:t>
      </w:r>
      <w:r w:rsidR="00826EB8" w:rsidRPr="00826EB8">
        <w:rPr>
          <w:rFonts w:ascii="Times New Roman" w:hAnsi="Times New Roman"/>
          <w:sz w:val="28"/>
          <w:szCs w:val="28"/>
        </w:rPr>
        <w:t>С</w:t>
      </w:r>
      <w:r w:rsidRPr="00826EB8">
        <w:rPr>
          <w:rFonts w:ascii="Times New Roman" w:hAnsi="Times New Roman"/>
          <w:sz w:val="28"/>
          <w:szCs w:val="28"/>
        </w:rPr>
        <w:t xml:space="preserve">чётной палате городского округа </w:t>
      </w:r>
      <w:r w:rsidR="00826EB8" w:rsidRPr="00826EB8">
        <w:rPr>
          <w:rFonts w:ascii="Times New Roman" w:hAnsi="Times New Roman"/>
          <w:sz w:val="28"/>
          <w:szCs w:val="28"/>
        </w:rPr>
        <w:t>Домодедово</w:t>
      </w:r>
      <w:r w:rsidRPr="00826EB8">
        <w:rPr>
          <w:rFonts w:ascii="Times New Roman" w:hAnsi="Times New Roman"/>
          <w:sz w:val="28"/>
          <w:szCs w:val="28"/>
        </w:rPr>
        <w:t xml:space="preserve"> Московской области, утверждённого решением </w:t>
      </w:r>
      <w:r w:rsidRPr="00826EB8">
        <w:rPr>
          <w:rFonts w:ascii="Times New Roman" w:eastAsia="Arial Unicode MS" w:hAnsi="Times New Roman"/>
          <w:sz w:val="28"/>
          <w:szCs w:val="28"/>
        </w:rPr>
        <w:t xml:space="preserve">Совета депутатов </w:t>
      </w:r>
      <w:r w:rsidRPr="00826EB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26EB8" w:rsidRPr="00826EB8">
        <w:rPr>
          <w:rFonts w:ascii="Times New Roman" w:hAnsi="Times New Roman"/>
          <w:sz w:val="28"/>
          <w:szCs w:val="28"/>
        </w:rPr>
        <w:t>Домодедово</w:t>
      </w:r>
      <w:r w:rsidRPr="00826EB8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826EB8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826EB8" w:rsidRPr="00826EB8">
        <w:rPr>
          <w:rFonts w:ascii="Times New Roman" w:eastAsia="Arial Unicode MS" w:hAnsi="Times New Roman"/>
          <w:sz w:val="28"/>
          <w:szCs w:val="28"/>
        </w:rPr>
        <w:t>21</w:t>
      </w:r>
      <w:r w:rsidRPr="00826EB8">
        <w:rPr>
          <w:rFonts w:ascii="Times New Roman" w:eastAsia="Arial Unicode MS" w:hAnsi="Times New Roman"/>
          <w:sz w:val="28"/>
          <w:szCs w:val="28"/>
        </w:rPr>
        <w:t>.0</w:t>
      </w:r>
      <w:r w:rsidR="00826EB8" w:rsidRPr="00826EB8">
        <w:rPr>
          <w:rFonts w:ascii="Times New Roman" w:eastAsia="Arial Unicode MS" w:hAnsi="Times New Roman"/>
          <w:sz w:val="28"/>
          <w:szCs w:val="28"/>
        </w:rPr>
        <w:t>2</w:t>
      </w:r>
      <w:r w:rsidRPr="00826EB8">
        <w:rPr>
          <w:rFonts w:ascii="Times New Roman" w:eastAsia="Arial Unicode MS" w:hAnsi="Times New Roman"/>
          <w:sz w:val="28"/>
          <w:szCs w:val="28"/>
        </w:rPr>
        <w:t>.201</w:t>
      </w:r>
      <w:r w:rsidR="00826EB8" w:rsidRPr="00826EB8">
        <w:rPr>
          <w:rFonts w:ascii="Times New Roman" w:eastAsia="Arial Unicode MS" w:hAnsi="Times New Roman"/>
          <w:sz w:val="28"/>
          <w:szCs w:val="28"/>
        </w:rPr>
        <w:t>9г.</w:t>
      </w:r>
      <w:r w:rsidRPr="00826EB8">
        <w:rPr>
          <w:rFonts w:ascii="Times New Roman" w:eastAsia="Arial Unicode MS" w:hAnsi="Times New Roman"/>
          <w:sz w:val="28"/>
          <w:szCs w:val="28"/>
        </w:rPr>
        <w:t xml:space="preserve"> № </w:t>
      </w:r>
      <w:r w:rsidR="00826EB8" w:rsidRPr="00826EB8">
        <w:rPr>
          <w:rFonts w:ascii="Times New Roman" w:eastAsia="Arial Unicode MS" w:hAnsi="Times New Roman"/>
          <w:sz w:val="28"/>
          <w:szCs w:val="28"/>
        </w:rPr>
        <w:t>1-4/942</w:t>
      </w:r>
      <w:r w:rsidRPr="00826EB8">
        <w:rPr>
          <w:rFonts w:ascii="Times New Roman" w:hAnsi="Times New Roman"/>
          <w:sz w:val="28"/>
          <w:szCs w:val="28"/>
        </w:rPr>
        <w:t xml:space="preserve">, </w:t>
      </w:r>
      <w:r w:rsidR="00826EB8" w:rsidRPr="00826EB8">
        <w:rPr>
          <w:rFonts w:ascii="Times New Roman" w:hAnsi="Times New Roman"/>
          <w:sz w:val="28"/>
          <w:szCs w:val="28"/>
        </w:rPr>
        <w:t xml:space="preserve">общими требованиями </w:t>
      </w:r>
      <w:r w:rsidRPr="00826EB8">
        <w:rPr>
          <w:rFonts w:ascii="Times New Roman" w:hAnsi="Times New Roman"/>
          <w:sz w:val="28"/>
          <w:szCs w:val="28"/>
        </w:rPr>
        <w:t>к стандартам внешнего</w:t>
      </w:r>
      <w:r w:rsidRPr="00812CCE">
        <w:rPr>
          <w:rFonts w:ascii="Times New Roman" w:hAnsi="Times New Roman"/>
          <w:sz w:val="28"/>
          <w:szCs w:val="28"/>
        </w:rPr>
        <w:t xml:space="preserve">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утверждёнными Коллегией Счётной палаты Российской Федерации (протокол от 17 октября 2014 года № 47К (993).</w:t>
      </w:r>
    </w:p>
    <w:bookmarkEnd w:id="1"/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1.2. Стандарт не распространяет свое действие на проведение экспертизы проекта бюджета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внешней проверки отчёта об исполнении бюджета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финансовый год, экспертизы муниципальных программ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, экспертизы  иных проектов нормативных правовых актов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1.3. Стандарт определяет общие требования и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принципы проведения С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чётной палатой городского округа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 Московской области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проекта решения Совета депутатов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Совета депутатов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документов и материалов, представляемых одновременно с ним (далее – Проект решения о внесении изменений в бюджет городского округа) в пределах полн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 xml:space="preserve">омочий и задач, возложенных на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 w:rsidR="00627989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1.4.</w:t>
      </w:r>
      <w:r w:rsidRPr="00812CCE">
        <w:rPr>
          <w:rFonts w:ascii="Times New Roman" w:hAnsi="Times New Roman"/>
          <w:sz w:val="28"/>
          <w:szCs w:val="28"/>
        </w:rPr>
        <w:t> Стандарт является обязател</w:t>
      </w:r>
      <w:r w:rsidR="00BC3488">
        <w:rPr>
          <w:rFonts w:ascii="Times New Roman" w:hAnsi="Times New Roman"/>
          <w:sz w:val="28"/>
          <w:szCs w:val="28"/>
        </w:rPr>
        <w:t xml:space="preserve">ьным к применению сотрудниками </w:t>
      </w:r>
      <w:r w:rsidRPr="00812CCE">
        <w:rPr>
          <w:rFonts w:ascii="Times New Roman" w:hAnsi="Times New Roman"/>
          <w:sz w:val="28"/>
          <w:szCs w:val="28"/>
        </w:rPr>
        <w:t xml:space="preserve">СП городского округа </w:t>
      </w:r>
      <w:r w:rsidR="00BC3488">
        <w:rPr>
          <w:rFonts w:ascii="Times New Roman" w:hAnsi="Times New Roman"/>
          <w:sz w:val="28"/>
          <w:szCs w:val="28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и проведении предварительного контроля в части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проведения экспертизы и подготовки соответствующего заключения.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1.5. Целью Стандарта является установление единых принципов, правил и процедур проведения предварительного контроля в части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1.6. Задачи, решаемые Стандартом: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определение основных принципов и этапов проведения предварительного контроля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на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установление требований к проведению экспертизы и проверок обоснованности вносимых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на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определение структуры, содержания и ос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новных требований к заключению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решения Совета депутатов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установление взаимодействия ме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жду направлениями деятельности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предварительного контроля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период.</w:t>
      </w:r>
    </w:p>
    <w:p w:rsidR="00D90FEC" w:rsidRPr="00812CCE" w:rsidRDefault="00BC3488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 При проведении экспертизы 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своей компетенции вправе отражать возможные коррупциогенные риски, усматриваемые в ходе её проведения.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FEC" w:rsidRPr="0027713E" w:rsidRDefault="00D90FEC" w:rsidP="00D90FEC">
      <w:pPr>
        <w:spacing w:before="60" w:after="0" w:line="312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FEC" w:rsidRPr="0027713E" w:rsidRDefault="00D90FEC" w:rsidP="00D90FEC">
      <w:pPr>
        <w:spacing w:before="60" w:after="0" w:line="312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FEC" w:rsidRPr="0027713E" w:rsidRDefault="00D90FEC" w:rsidP="00D90FEC">
      <w:pPr>
        <w:spacing w:before="60" w:after="0" w:line="312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FEC" w:rsidRPr="00812CCE" w:rsidRDefault="00D90FEC" w:rsidP="00D90FEC">
      <w:pPr>
        <w:spacing w:before="60" w:after="0" w:line="312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 Требования к проведению </w:t>
      </w:r>
      <w:r w:rsidRPr="00812CCE">
        <w:rPr>
          <w:rFonts w:ascii="Times New Roman" w:hAnsi="Times New Roman"/>
          <w:b/>
          <w:sz w:val="28"/>
          <w:szCs w:val="28"/>
        </w:rPr>
        <w:t>экспертизы проекта о внесении изменений</w:t>
      </w:r>
      <w:r w:rsidRPr="00812CCE">
        <w:rPr>
          <w:rFonts w:ascii="Times New Roman" w:hAnsi="Times New Roman"/>
          <w:sz w:val="28"/>
          <w:szCs w:val="28"/>
        </w:rPr>
        <w:t xml:space="preserve"> </w:t>
      </w:r>
      <w:r w:rsidRPr="00812C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бюджет городского округа </w:t>
      </w:r>
      <w:r w:rsidR="00BC34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текущий финансовый год и плановый период</w:t>
      </w:r>
    </w:p>
    <w:p w:rsidR="00D90FEC" w:rsidRPr="00812CCE" w:rsidRDefault="00D90FEC" w:rsidP="00D90FEC">
      <w:pPr>
        <w:spacing w:before="60" w:after="0" w:line="312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2.1. Предварительный контроль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 направлен на осуществление анализа обоснованности показателей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Домодедово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текущий финансовый год и плановый период, наличия и состояния нормативной правовой базы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Домодедово и подготовки заключения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решения Совета депутатов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Домодедово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2.2. Целью предварительного контроля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 является определение достоверности и обоснованности вносимых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2.3. Задачами предварительного контроля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 являются: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определение соответствия действующему законодательству и нормативным правовым актам органов местного самоуправления проекта решения о внесении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а также документов и материалов, представляемых одновременно с ними в Совет депутатов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определение обоснованности, целесообразности и достоверности показателей, содержащихся в проекте решения о внесении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документах и материалах, представляемых одновременно с ним.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2.4. Предметом предварительного контроля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проект решения Совета депутатов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период, документы и материалы, представляемые одновременно с ним в Совет депутатов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Домодедово, и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докумен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ты и информация, запрашиваемые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2.5. При осуществлении предварительного контроля внесения изменений в бюджет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Домодедово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на плановый период проверяется и анализируется соответствие вносимых изменений в бюджет положениям Бюджетного кодекса Российской Федерации и требованиям Положения о бюджетном процессе по следующим позициям: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2.5.1. соблюдение принципов бюджетной системы Российской Федерации определенных статьей 28 и установленных статьями 29-38.2 Бюджетного кодекса Российской Федерации;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2.5.2. при оценке и анализе доходов бюджета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обратить внимание на порядок зачисления доходов в бюджет, определенный в статьях 40, 41, 42, 46, 61.2, 62, 64 Бюджетного кодекса Российской Федерации, изменение налоговых и неналоговых доходов местного бюджета;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2.5.3. при оценке и анализе расходов бюджета городского округа </w:t>
      </w:r>
      <w:r w:rsidR="00BC348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обратить внимание на следующее: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обеспечение закрепленного в статье 37 Бюджетного кодекса Российской Федерации принципа достоверности бюджета, который означает, в том числе реалистичность расчёта расходов бюджета;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соблюдение положений формирования расходов бюджета, установленных в статье 65 Бюджетного кодекса Российской Федерации,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счёт средств соответствующих бюджетов;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обоснование бюджетных ассигнований в соответствии со статьями 69, 69.1, 70, 74, 74.1, 78, 78.1, 79, 80, 81 и 83 Бюджетного кодекса Российской Федерации;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изменения предельных объёмов финансирования действующих и принимаемых расходных обязательств;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обоснованность вносимых изменений в целевые показатели и бюджетные ассигнования муниципальных программ;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2.5.4. при оценке и анализе межбюджетных отношений следует обратить внимание на соблюдение условий предоставления межбюджетных трансфертов из областного бюджета, а также форм межбюджетных трансфертов, предоставляемых из областного бюджета в соответствии со статьями 136, 137, 138, 139, 139.1, 140 Бюджетного кодекса Российской Федерации;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2.5.5. при оценке и анализе источников финансирования дефицита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, муниципального долга отразить соблюдение требований следующих статей Бюджетного кодекса Российской Федерации: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статьи 32 Бюджетного кодекса РФ по полноте отражения доходов, расходов и источников финансирования дефицитов бюджетов, статьи 92.1 Бюджетного кодекса Российской Федерации по установлению размера дефицита местного бюджета и ограничения по источникам его финансирования, статьи 93.1 Бюджетного кодекса Российской Федерации по зачислению средств от продажи акций и иных форм участия в капитале, находящихся в муниципальной собственности, статей 93.2, 93.3 Бюджетного кодекса Российской Федерации по предоставлению бюджетных кредитов, статьи 96 Бюджетного кодекса Российской Федерации по составу источников финансирования дефицита местного бюджета и утверждению их в решении о бюджете на текущий финансовый год и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статей 101 и 102 Бюджетного кодекса Российской Федерации по управлению муниципальным долгом и соблюдению ответственности по долговым обязательствам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статьи 100 Бюджетного кодекса Российской Федерации по структуре муниципального долга, видам и срочности долговых обязательств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статьи 100.1 Бюджетного кодекса Российской Федерации по прекращению долговых обязательств субъекта Российской Федерации, выраженных в валюте Российской Федерации, и их списанию с государственного долга субъекта Российской Федерации, статьи 102 Бюджетного кодекса Российской Федерации по соблюдению ответственности по долговым обязательствам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, статьи 103 Бюджетного кодекса Российской Федерации по осуществлению муниципальных заимствований, 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 статей 110.1, 110.2 Бюджетного кодекса Российской Федерации по программам муниципальных внутренних заимствований  и муниципальных гарантий и внесению изменений в указанные программы, статей 113, 114, 115, 115.1, 115.2 и 117 Бюджетного кодекса Российской Федерации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условий предоставления муниципальных гарантий;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2.5.6. проанализировать соблюдение требований к составу документов и материалов, представляемых одновременно с проектом внесения изменений в бюджет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 о бюджетном процессе.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2.6. Предварительный контроль внесения изменений в бюджет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 заключается в следующем: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2.6.1. проверка и анализ обоснованности и достоверности изменений доходных статей бюджета на текущий финансовый год и плановый период предусматривает: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факторный анализ изменения доходных источников бюджета на текущий финансовый год и плановый период по сравнению с их оценкой в очередном году;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оценку обоснованности расчётов иных доходов в части дивидендов по акциям и доходам от прочих форм участия в капитале, находящихся в собственности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анализ изменений межбюджетных трансфертов;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2.6.2. проверка и анализ полноты отражения и достоверности изменений расходов бюджета на текущий финансовый год и на плановый период предусматривает: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анализ изменения бюджетных ассигнований, направляемых на исполнение муниципальных программ;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анализ изменения бюджетных ассигнований, направляемых на исполнение публичных нормативных обязательств;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анализ изменения непрограммных расходов.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2.6.3. проверка и анализ обоснованности и достоверности изменения источников финансирования дефицита бюджета и предельных размеров муниципального долга предусматривают: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D90FEC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оценку обоснованности изменения источников внутреннего финансирования дефицита бюджета и структуры источников финансирования дефицита бюджета.</w:t>
      </w:r>
    </w:p>
    <w:p w:rsidR="00480608" w:rsidRDefault="00480608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608" w:rsidRPr="00812CCE" w:rsidRDefault="00480608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FEC" w:rsidRPr="0027713E" w:rsidRDefault="00D90FEC" w:rsidP="00D90FEC">
      <w:pPr>
        <w:spacing w:before="60" w:after="0" w:line="312" w:lineRule="auto"/>
        <w:ind w:left="567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FEC" w:rsidRPr="00812CCE" w:rsidRDefault="00D90FEC" w:rsidP="00D90FEC">
      <w:pPr>
        <w:spacing w:before="60" w:after="0" w:line="312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 Требования к оформлению результатов экспертизы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FEC" w:rsidRPr="00812CCE" w:rsidRDefault="00480608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 Заключение 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решения Совета депутатов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 подготавливается на основе: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анализа проекта решения Совета депутатов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на текущий финансовый год и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анализа материалов и документов, представленных администрацией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проектом решения Совета депутатов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на текущий финансовый год и плановый период в соответствии с Бюджетным кодексом Российской Федерации, Положением о бюджетном процессе;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результатов контроля за исполнением бюджета в текущем году, тематических проверок.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 xml:space="preserve"> Структура заключения 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вносимых изменений в бюджет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в себя следующие разделы: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12CCE">
        <w:rPr>
          <w:rFonts w:ascii="Times New Roman" w:hAnsi="Times New Roman"/>
          <w:sz w:val="28"/>
          <w:szCs w:val="28"/>
        </w:rPr>
        <w:t>основание для проведения экспертизы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812CCE">
        <w:rPr>
          <w:rFonts w:ascii="Times New Roman" w:hAnsi="Times New Roman"/>
          <w:sz w:val="28"/>
          <w:szCs w:val="28"/>
        </w:rPr>
        <w:t>цель экспертизы;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2CCE">
        <w:rPr>
          <w:rFonts w:ascii="Times New Roman" w:hAnsi="Times New Roman"/>
          <w:sz w:val="28"/>
          <w:szCs w:val="28"/>
        </w:rPr>
        <w:t>- предмет экспертизы;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2CCE">
        <w:rPr>
          <w:rFonts w:ascii="Times New Roman" w:hAnsi="Times New Roman"/>
          <w:sz w:val="28"/>
          <w:szCs w:val="28"/>
        </w:rPr>
        <w:t>- нормативная правовая основа экспертизы;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hAnsi="Times New Roman"/>
          <w:sz w:val="28"/>
          <w:szCs w:val="28"/>
        </w:rPr>
        <w:t>- </w:t>
      </w:r>
      <w:r w:rsidR="00480608">
        <w:rPr>
          <w:rFonts w:ascii="Times New Roman" w:hAnsi="Times New Roman"/>
          <w:snapToGrid w:val="0"/>
          <w:sz w:val="28"/>
          <w:szCs w:val="28"/>
        </w:rPr>
        <w:t>р</w:t>
      </w:r>
      <w:r w:rsidRPr="00812CCE">
        <w:rPr>
          <w:rFonts w:ascii="Times New Roman" w:hAnsi="Times New Roman"/>
          <w:snapToGrid w:val="0"/>
          <w:sz w:val="28"/>
          <w:szCs w:val="28"/>
        </w:rPr>
        <w:t>езультаты экспертизы;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общая характеристика вносимых изменений в параметры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на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изменение доходной части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изменение расходной части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изменение дефицита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, источников его финансирования, муниципального долга, в программы муниципальных заимствований и программ муниципальных гарантий;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 текстовые статьи проекта решения Совета депутатов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бюджет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период;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выводы и предложения.</w:t>
      </w:r>
    </w:p>
    <w:p w:rsidR="00D90FEC" w:rsidRPr="00812CCE" w:rsidRDefault="00480608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 В заключении 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отражены следующие основные аспекты: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оценка обоснованности изменений показателей (параметров и характеристик)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- оценка соответствия изменений бюджета городского округа </w:t>
      </w:r>
      <w:r w:rsidR="00480608"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Бюджетному кодексу Российской Федерации и Положению о бюджетном процессе;</w:t>
      </w:r>
    </w:p>
    <w:p w:rsidR="00D90FEC" w:rsidRPr="00812CCE" w:rsidRDefault="00D90FEC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- оценка обоснованности действующих и принимаемых расходных обязательств в части вносимых изменений;</w:t>
      </w:r>
    </w:p>
    <w:p w:rsidR="00D90FEC" w:rsidRPr="00812CCE" w:rsidRDefault="00802311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предложения 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совершенствованию прогнозирования и планирования основных показателей бюджета на текущий финансовый год и плановый период, бюджетного процесса, результативности бюджетных расходов.</w:t>
      </w:r>
    </w:p>
    <w:p w:rsidR="00D90FEC" w:rsidRPr="00812CCE" w:rsidRDefault="00802311" w:rsidP="00D90FEC">
      <w:pPr>
        <w:spacing w:before="60" w:after="0" w:line="312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 Заключение 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СП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экспертизы проекта о внесении изменений в бюджет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в установленном порядке главе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Совет депутатов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Домодедово</w:t>
      </w:r>
      <w:r w:rsidR="00D90FEC" w:rsidRPr="00812C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CC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90FEC" w:rsidRPr="00812CCE" w:rsidRDefault="00D90FEC" w:rsidP="00D90FEC">
      <w:pPr>
        <w:spacing w:before="60" w:after="0" w:line="312" w:lineRule="auto"/>
        <w:ind w:firstLine="851"/>
        <w:rPr>
          <w:rFonts w:ascii="Times New Roman" w:hAnsi="Times New Roman"/>
          <w:sz w:val="28"/>
          <w:szCs w:val="28"/>
        </w:rPr>
      </w:pPr>
    </w:p>
    <w:p w:rsidR="005A1221" w:rsidRPr="00812CCE" w:rsidRDefault="005A1221">
      <w:pPr>
        <w:rPr>
          <w:sz w:val="28"/>
          <w:szCs w:val="28"/>
        </w:rPr>
      </w:pPr>
    </w:p>
    <w:sectPr w:rsidR="005A1221" w:rsidRPr="00812C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A5" w:rsidRDefault="001733A5" w:rsidP="000141D8">
      <w:pPr>
        <w:spacing w:after="0" w:line="240" w:lineRule="auto"/>
      </w:pPr>
      <w:r>
        <w:separator/>
      </w:r>
    </w:p>
  </w:endnote>
  <w:endnote w:type="continuationSeparator" w:id="0">
    <w:p w:rsidR="001733A5" w:rsidRDefault="001733A5" w:rsidP="0001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0976"/>
      <w:docPartObj>
        <w:docPartGallery w:val="Page Numbers (Bottom of Page)"/>
        <w:docPartUnique/>
      </w:docPartObj>
    </w:sdtPr>
    <w:sdtEndPr/>
    <w:sdtContent>
      <w:p w:rsidR="000141D8" w:rsidRDefault="000141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6C">
          <w:rPr>
            <w:noProof/>
          </w:rPr>
          <w:t>1</w:t>
        </w:r>
        <w:r>
          <w:fldChar w:fldCharType="end"/>
        </w:r>
      </w:p>
    </w:sdtContent>
  </w:sdt>
  <w:p w:rsidR="000141D8" w:rsidRDefault="000141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A5" w:rsidRDefault="001733A5" w:rsidP="000141D8">
      <w:pPr>
        <w:spacing w:after="0" w:line="240" w:lineRule="auto"/>
      </w:pPr>
      <w:r>
        <w:separator/>
      </w:r>
    </w:p>
  </w:footnote>
  <w:footnote w:type="continuationSeparator" w:id="0">
    <w:p w:rsidR="001733A5" w:rsidRDefault="001733A5" w:rsidP="0001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EC"/>
    <w:rsid w:val="000141D8"/>
    <w:rsid w:val="001733A5"/>
    <w:rsid w:val="001A1C20"/>
    <w:rsid w:val="0027713E"/>
    <w:rsid w:val="00480608"/>
    <w:rsid w:val="004D1B0D"/>
    <w:rsid w:val="0059665A"/>
    <w:rsid w:val="005A1221"/>
    <w:rsid w:val="00627989"/>
    <w:rsid w:val="006640AE"/>
    <w:rsid w:val="00670E6C"/>
    <w:rsid w:val="006901FF"/>
    <w:rsid w:val="00802311"/>
    <w:rsid w:val="00812CCE"/>
    <w:rsid w:val="00826EB8"/>
    <w:rsid w:val="00971725"/>
    <w:rsid w:val="00A96D6A"/>
    <w:rsid w:val="00BC3488"/>
    <w:rsid w:val="00D90FEC"/>
    <w:rsid w:val="00E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0FEC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0FE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90F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1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1D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1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1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0FEC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0FE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90FE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1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1D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1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1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2022-02-24T08:46:00Z</dcterms:created>
  <dcterms:modified xsi:type="dcterms:W3CDTF">2022-02-24T08:46:00Z</dcterms:modified>
</cp:coreProperties>
</file>